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hint="default" w:ascii="仿宋_GB2312" w:hAnsi="仿宋_GB2312" w:eastAsia="仿宋_GB2312" w:cs="仿宋_GB2312"/>
          <w:kern w:val="0"/>
          <w:sz w:val="36"/>
          <w:szCs w:val="36"/>
          <w:lang w:val="en-US" w:eastAsia="zh-CN"/>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CN"/>
        </w:rPr>
        <w:t>重点支出</w:t>
      </w:r>
      <w:r>
        <w:rPr>
          <w:rFonts w:hint="eastAsia" w:ascii="仿宋_GB2312" w:hAnsi="仿宋_GB2312" w:eastAsia="仿宋_GB2312" w:cs="仿宋_GB2312"/>
          <w:kern w:val="0"/>
          <w:sz w:val="36"/>
          <w:szCs w:val="36"/>
          <w:lang w:val="en-US" w:eastAsia="zh-CN"/>
        </w:rPr>
        <w:t>项目</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塔什库尔干县公安局</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塔什库尔干县人民政府</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eastAsia="仿宋_GB2312"/>
          <w:kern w:val="0"/>
          <w:sz w:val="36"/>
          <w:szCs w:val="36"/>
          <w:lang w:val="zh-TW" w:eastAsia="zh-CN"/>
        </w:rPr>
        <w:t>宝力代</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10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hint="eastAsia" w:ascii="黑体" w:hAnsi="黑体" w:eastAsia="黑体"/>
          <w:b w:val="0"/>
          <w:spacing w:val="-4"/>
          <w:sz w:val="32"/>
          <w:szCs w:val="32"/>
        </w:rPr>
      </w:pPr>
    </w:p>
    <w:p>
      <w:pPr>
        <w:pStyle w:val="48"/>
        <w:spacing w:line="700" w:lineRule="exact"/>
        <w:ind w:firstLine="624" w:firstLineChars="200"/>
        <w:jc w:val="left"/>
        <w:rPr>
          <w:rStyle w:val="18"/>
          <w:rFonts w:hint="eastAsia" w:ascii="黑体" w:hAnsi="黑体" w:eastAsia="黑体"/>
          <w:b w:val="0"/>
          <w:spacing w:val="-4"/>
          <w:sz w:val="32"/>
          <w:szCs w:val="32"/>
        </w:rPr>
      </w:pP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313" w:firstLineChars="1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县公安局基本情况，包括：县公安局主要职能和机构设置情况、年末编制情况、实有人数情况等。</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1、主要职能</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塔什库尔干塔吉克自治县公安局是主管全县公安工作的政府工作部门，是不同于一般行政机关的具有武装性质的国家治安行政管理和刑事执法部门。主要有以下职责：预防、制止和侦查违法犯罪活动;防范、打击恐怖活动;维护社会治安秩序，制止危害社会治安秩序的行为;管理交通、消防、危险物品;管理户口、居民身份证、国籍、出入境事务和外国人在中国境内居留、旅行的有关事务;维护国(边)境地区的治安秩序;警卫国家规定的特定人员、守卫重要场所和设施;管理集会、游行和示威活动;监督管理公共信息网络安全监察工作;负责承担被判处拘役、有期徒刑、缓刑、管制、剥夺政治权利和被假释犯的监督考察任务；法律、法规规定的其他职责。</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2、机构情况及人员情况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塔什库尔干塔吉克自治县公安局为正科级单位，具体机构设置：内设综合管理机构3个，执法勤务机构11个，派出机构5个，监管场所2个。</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总编制数112名，其中行政编制85名，工勤编制2名，事业编制25名。2018年实有在职人数行政编制96人，事业编制22人。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持续聚焦总目标，坚决贯彻自治区“4+2”“2+1”决策部署，提升社会面管控能力，确保社会面安全</w:t>
      </w:r>
      <w:r>
        <w:rPr>
          <w:rFonts w:hint="eastAsia" w:ascii="仿宋" w:hAnsi="仿宋" w:eastAsia="仿宋"/>
          <w:bCs/>
          <w:color w:val="auto"/>
          <w:spacing w:val="-4"/>
          <w:sz w:val="32"/>
          <w:szCs w:val="32"/>
          <w:lang w:val="en-US" w:eastAsia="zh-CN"/>
        </w:rPr>
        <w:t>和谐</w:t>
      </w:r>
      <w:r>
        <w:rPr>
          <w:rFonts w:hint="eastAsia" w:ascii="仿宋" w:hAnsi="仿宋" w:eastAsia="仿宋"/>
          <w:bCs/>
          <w:color w:val="auto"/>
          <w:spacing w:val="-4"/>
          <w:sz w:val="32"/>
          <w:szCs w:val="32"/>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
          <w:bCs w:val="0"/>
          <w:color w:val="auto"/>
          <w:spacing w:val="-4"/>
          <w:sz w:val="32"/>
          <w:szCs w:val="32"/>
        </w:rPr>
      </w:pPr>
      <w:r>
        <w:rPr>
          <w:rFonts w:hint="eastAsia" w:ascii="仿宋" w:hAnsi="仿宋" w:eastAsia="仿宋"/>
          <w:bCs/>
          <w:color w:val="auto"/>
          <w:spacing w:val="-4"/>
          <w:sz w:val="32"/>
          <w:szCs w:val="32"/>
        </w:rPr>
        <w:t>本项目性质为新增项目。</w:t>
      </w:r>
    </w:p>
    <w:p>
      <w:pPr>
        <w:adjustRightInd w:val="0"/>
        <w:snapToGrid w:val="0"/>
        <w:spacing w:line="560" w:lineRule="exact"/>
        <w:ind w:firstLine="627" w:firstLineChars="200"/>
        <w:rPr>
          <w:rFonts w:ascii="仿宋" w:hAnsi="仿宋" w:eastAsia="仿宋"/>
          <w:b/>
          <w:bCs w:val="0"/>
          <w:spacing w:val="-4"/>
          <w:sz w:val="32"/>
          <w:szCs w:val="32"/>
        </w:rPr>
      </w:pPr>
      <w:r>
        <w:rPr>
          <w:rFonts w:hint="eastAsia" w:ascii="仿宋" w:hAnsi="仿宋" w:eastAsia="仿宋"/>
          <w:b/>
          <w:bCs w:val="0"/>
          <w:spacing w:val="-4"/>
          <w:sz w:val="32"/>
          <w:szCs w:val="32"/>
        </w:rPr>
        <w:t>3、项目用途及范围</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val="en-US" w:eastAsia="zh-CN"/>
        </w:rPr>
        <w:t>项目</w:t>
      </w:r>
      <w:r>
        <w:rPr>
          <w:rFonts w:hint="eastAsia" w:ascii="仿宋" w:hAnsi="仿宋" w:eastAsia="仿宋"/>
          <w:bCs/>
          <w:color w:val="auto"/>
          <w:spacing w:val="-4"/>
          <w:sz w:val="32"/>
          <w:szCs w:val="32"/>
        </w:rPr>
        <w:t>资金主要用于解决</w:t>
      </w:r>
      <w:r>
        <w:rPr>
          <w:rFonts w:hint="eastAsia" w:ascii="仿宋" w:hAnsi="仿宋" w:eastAsia="仿宋"/>
          <w:bCs/>
          <w:color w:val="auto"/>
          <w:spacing w:val="-4"/>
          <w:sz w:val="32"/>
          <w:szCs w:val="32"/>
          <w:lang w:eastAsia="zh-CN"/>
        </w:rPr>
        <w:t>站所</w:t>
      </w:r>
      <w:r>
        <w:rPr>
          <w:rFonts w:hint="eastAsia" w:ascii="仿宋" w:hAnsi="仿宋" w:eastAsia="仿宋"/>
          <w:bCs/>
          <w:color w:val="auto"/>
          <w:spacing w:val="-4"/>
          <w:sz w:val="32"/>
          <w:szCs w:val="32"/>
        </w:rPr>
        <w:t>设施设备购置。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val="en-US" w:eastAsia="zh-CN"/>
        </w:rPr>
        <w:t>项目资金</w:t>
      </w:r>
      <w:r>
        <w:rPr>
          <w:rFonts w:hint="eastAsia" w:ascii="仿宋" w:hAnsi="仿宋" w:eastAsia="仿宋"/>
          <w:bCs/>
          <w:color w:val="auto"/>
          <w:spacing w:val="-4"/>
          <w:sz w:val="32"/>
          <w:szCs w:val="32"/>
        </w:rPr>
        <w:t>项目预算安排总额为</w:t>
      </w:r>
      <w:r>
        <w:rPr>
          <w:rFonts w:hint="eastAsia" w:ascii="仿宋" w:hAnsi="仿宋" w:eastAsia="仿宋"/>
          <w:bCs/>
          <w:color w:val="auto"/>
          <w:spacing w:val="-4"/>
          <w:sz w:val="32"/>
          <w:szCs w:val="32"/>
          <w:lang w:val="en-US" w:eastAsia="zh-CN"/>
        </w:rPr>
        <w:t>30</w:t>
      </w:r>
      <w:r>
        <w:rPr>
          <w:rFonts w:hint="eastAsia" w:ascii="仿宋" w:hAnsi="仿宋" w:eastAsia="仿宋"/>
          <w:bCs/>
          <w:color w:val="auto"/>
          <w:spacing w:val="-4"/>
          <w:sz w:val="32"/>
          <w:szCs w:val="32"/>
        </w:rPr>
        <w:t>万元，其中财政资金</w:t>
      </w:r>
      <w:r>
        <w:rPr>
          <w:rFonts w:hint="eastAsia" w:ascii="仿宋" w:hAnsi="仿宋" w:eastAsia="仿宋"/>
          <w:bCs/>
          <w:color w:val="auto"/>
          <w:spacing w:val="-4"/>
          <w:sz w:val="32"/>
          <w:szCs w:val="32"/>
          <w:lang w:val="en-US" w:eastAsia="zh-CN"/>
        </w:rPr>
        <w:t>30</w:t>
      </w:r>
      <w:r>
        <w:rPr>
          <w:rFonts w:hint="eastAsia" w:ascii="仿宋" w:hAnsi="仿宋" w:eastAsia="仿宋"/>
          <w:bCs/>
          <w:color w:val="auto"/>
          <w:spacing w:val="-4"/>
          <w:sz w:val="32"/>
          <w:szCs w:val="32"/>
        </w:rPr>
        <w:t>万元，2018年实际收到预算资金</w:t>
      </w:r>
      <w:r>
        <w:rPr>
          <w:rFonts w:hint="eastAsia" w:ascii="仿宋" w:hAnsi="仿宋" w:eastAsia="仿宋"/>
          <w:bCs/>
          <w:color w:val="auto"/>
          <w:spacing w:val="-4"/>
          <w:sz w:val="32"/>
          <w:szCs w:val="32"/>
          <w:lang w:val="en-US" w:eastAsia="zh-CN"/>
        </w:rPr>
        <w:t>30</w:t>
      </w:r>
      <w:r>
        <w:rPr>
          <w:rFonts w:hint="eastAsia" w:ascii="仿宋" w:hAnsi="仿宋" w:eastAsia="仿宋"/>
          <w:bCs/>
          <w:color w:val="auto"/>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本项目实际支付资金</w:t>
      </w:r>
      <w:r>
        <w:rPr>
          <w:rFonts w:hint="eastAsia" w:ascii="仿宋" w:hAnsi="仿宋" w:eastAsia="仿宋"/>
          <w:bCs/>
          <w:color w:val="auto"/>
          <w:spacing w:val="-4"/>
          <w:sz w:val="32"/>
          <w:szCs w:val="32"/>
          <w:lang w:val="en-US" w:eastAsia="zh-CN"/>
        </w:rPr>
        <w:t>30</w:t>
      </w:r>
      <w:r>
        <w:rPr>
          <w:rFonts w:hint="eastAsia" w:ascii="仿宋" w:hAnsi="仿宋" w:eastAsia="仿宋"/>
          <w:bCs/>
          <w:color w:val="auto"/>
          <w:spacing w:val="-4"/>
          <w:sz w:val="32"/>
          <w:szCs w:val="32"/>
        </w:rPr>
        <w:t>万元，预算执行率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项目资金主要用于支付县城8号、10号警务站维修改造及办公家具购置</w:t>
      </w:r>
      <w:r>
        <w:rPr>
          <w:rFonts w:hint="eastAsia" w:ascii="仿宋" w:hAnsi="仿宋" w:eastAsia="仿宋"/>
          <w:bCs/>
          <w:color w:val="auto"/>
          <w:spacing w:val="-4"/>
          <w:sz w:val="32"/>
          <w:szCs w:val="32"/>
          <w:lang w:val="en-US" w:eastAsia="zh-CN"/>
        </w:rPr>
        <w:t>30万元</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val="en-US" w:eastAsia="zh-CN"/>
        </w:rPr>
        <w:t>公安机关财务管理规定，</w:t>
      </w:r>
      <w:r>
        <w:rPr>
          <w:rFonts w:hint="eastAsia" w:ascii="仿宋" w:hAnsi="仿宋" w:eastAsia="仿宋"/>
          <w:bCs/>
          <w:color w:val="auto"/>
          <w:spacing w:val="-4"/>
          <w:sz w:val="32"/>
          <w:szCs w:val="32"/>
        </w:rPr>
        <w:t>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该项目资金到位后，立即开会确定实施方案，并形成报告上报县财经领导小组批准使用。实施过程均按照本单位制定的管理制度执行。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为保证项目质量和成本控制，项目实施完成后，由本项目相关人员完成检查验收，检查验收合格后按合同规定支付款项。</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一是按照经费实施方案，各项支出有计划的开展，提高了预算执行率。二是加强督促检查。对于重大项目支出召开党委会研究决定。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10</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10</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效率性：工程验收合格率100%</w:t>
      </w:r>
      <w:r>
        <w:rPr>
          <w:rStyle w:val="18"/>
          <w:rFonts w:hint="eastAsia" w:ascii="仿宋" w:hAnsi="仿宋" w:eastAsia="仿宋"/>
          <w:b w:val="0"/>
          <w:color w:val="auto"/>
          <w:spacing w:val="-4"/>
          <w:sz w:val="32"/>
          <w:szCs w:val="32"/>
          <w:lang w:eastAsia="zh-CN"/>
        </w:rPr>
        <w:t>，</w:t>
      </w:r>
      <w:r>
        <w:rPr>
          <w:rStyle w:val="18"/>
          <w:rFonts w:hint="eastAsia" w:ascii="仿宋" w:hAnsi="仿宋" w:eastAsia="仿宋"/>
          <w:b w:val="0"/>
          <w:color w:val="auto"/>
          <w:spacing w:val="-4"/>
          <w:sz w:val="32"/>
          <w:szCs w:val="32"/>
        </w:rPr>
        <w:t>按时开工率100%。按时完工率100%，工程款拨付率100%。</w:t>
      </w:r>
    </w:p>
    <w:p>
      <w:pPr>
        <w:adjustRightInd w:val="0"/>
        <w:snapToGrid w:val="0"/>
        <w:spacing w:line="560" w:lineRule="exact"/>
        <w:ind w:firstLine="624" w:firstLineChars="200"/>
        <w:rPr>
          <w:rStyle w:val="18"/>
          <w:rFonts w:hint="eastAsia" w:ascii="仿宋" w:hAnsi="仿宋" w:eastAsia="仿宋"/>
          <w:b w:val="0"/>
          <w:bCs/>
          <w:color w:val="auto"/>
          <w:spacing w:val="-4"/>
          <w:sz w:val="32"/>
          <w:szCs w:val="32"/>
        </w:rPr>
      </w:pPr>
      <w:r>
        <w:rPr>
          <w:rStyle w:val="18"/>
          <w:rFonts w:hint="eastAsia" w:ascii="仿宋" w:hAnsi="仿宋" w:eastAsia="仿宋"/>
          <w:b w:val="0"/>
          <w:color w:val="auto"/>
          <w:spacing w:val="-4"/>
          <w:sz w:val="32"/>
          <w:szCs w:val="32"/>
        </w:rPr>
        <w:t>效益性：此项经费的拨付使用为打造全县标准化</w:t>
      </w:r>
      <w:r>
        <w:rPr>
          <w:rStyle w:val="18"/>
          <w:rFonts w:hint="eastAsia" w:ascii="仿宋" w:hAnsi="仿宋" w:eastAsia="仿宋"/>
          <w:b w:val="0"/>
          <w:color w:val="auto"/>
          <w:spacing w:val="-4"/>
          <w:sz w:val="32"/>
          <w:szCs w:val="32"/>
          <w:lang w:eastAsia="zh-CN"/>
        </w:rPr>
        <w:t>站所</w:t>
      </w:r>
      <w:r>
        <w:rPr>
          <w:rStyle w:val="18"/>
          <w:rFonts w:hint="eastAsia" w:ascii="仿宋" w:hAnsi="仿宋" w:eastAsia="仿宋"/>
          <w:b w:val="0"/>
          <w:color w:val="auto"/>
          <w:spacing w:val="-4"/>
          <w:sz w:val="32"/>
          <w:szCs w:val="32"/>
        </w:rPr>
        <w:t>打下了坚实的基础。</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shd w:val="clear" w:color="auto" w:fill="auto"/>
        </w:rPr>
      </w:pPr>
      <w:r>
        <w:rPr>
          <w:rFonts w:hint="eastAsia" w:ascii="仿宋" w:hAnsi="仿宋" w:eastAsia="仿宋"/>
          <w:color w:val="auto"/>
          <w:spacing w:val="-4"/>
          <w:sz w:val="32"/>
          <w:szCs w:val="32"/>
          <w:shd w:val="clear" w:color="auto" w:fill="auto"/>
        </w:rPr>
        <w:t>不存在未完成情况</w:t>
      </w:r>
      <w:r>
        <w:rPr>
          <w:rFonts w:ascii="仿宋" w:hAnsi="仿宋" w:eastAsia="仿宋"/>
          <w:color w:val="auto"/>
          <w:spacing w:val="-4"/>
          <w:sz w:val="32"/>
          <w:szCs w:val="32"/>
          <w:shd w:val="clear" w:color="auto" w:fill="auto"/>
        </w:rPr>
        <w:t>:</w:t>
      </w:r>
      <w:r>
        <w:rPr>
          <w:rFonts w:hint="eastAsia" w:ascii="仿宋" w:hAnsi="仿宋" w:eastAsia="仿宋"/>
          <w:color w:val="auto"/>
          <w:spacing w:val="-4"/>
          <w:sz w:val="32"/>
          <w:szCs w:val="32"/>
          <w:shd w:val="clear" w:color="auto" w:fill="auto"/>
        </w:rPr>
        <w:t>2018年本项目绩效目标全部达成，不存在未完成原因分析。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仿宋" w:hAnsi="仿宋" w:eastAsia="仿宋"/>
          <w:bCs/>
          <w:color w:val="FF0000"/>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left="638" w:leftChars="304" w:firstLine="0" w:firstLineChars="0"/>
        <w:outlineLvl w:val="0"/>
        <w:rPr>
          <w:rFonts w:ascii="楷体" w:hAnsi="楷体" w:eastAsia="楷体"/>
          <w:b/>
          <w:spacing w:val="-4"/>
          <w:sz w:val="32"/>
          <w:szCs w:val="32"/>
        </w:rPr>
      </w:pPr>
      <w:r>
        <w:rPr>
          <w:rFonts w:hint="eastAsia" w:ascii="仿宋" w:hAnsi="仿宋" w:eastAsia="仿宋"/>
          <w:bCs/>
          <w:color w:val="auto"/>
          <w:spacing w:val="-4"/>
          <w:sz w:val="32"/>
          <w:szCs w:val="32"/>
        </w:rPr>
        <w:t>全力发挥警务站社会面管控作用，确保社会面</w:t>
      </w:r>
      <w:r>
        <w:rPr>
          <w:rFonts w:hint="eastAsia" w:ascii="仿宋" w:hAnsi="仿宋" w:eastAsia="仿宋"/>
          <w:bCs/>
          <w:color w:val="auto"/>
          <w:spacing w:val="-4"/>
          <w:sz w:val="32"/>
          <w:szCs w:val="32"/>
          <w:lang w:val="en-US" w:eastAsia="zh-CN"/>
        </w:rPr>
        <w:t>安全和谐。</w:t>
      </w: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主要经验及做法</w:t>
      </w:r>
    </w:p>
    <w:p>
      <w:pPr>
        <w:numPr>
          <w:ilvl w:val="0"/>
          <w:numId w:val="0"/>
        </w:numPr>
        <w:adjustRightInd w:val="0"/>
        <w:snapToGrid w:val="0"/>
        <w:spacing w:line="560" w:lineRule="exact"/>
        <w:ind w:firstLine="624" w:firstLineChars="200"/>
        <w:rPr>
          <w:rFonts w:hint="default" w:ascii="仿宋" w:hAnsi="仿宋" w:eastAsia="仿宋"/>
          <w:bCs/>
          <w:spacing w:val="-4"/>
          <w:sz w:val="32"/>
          <w:szCs w:val="32"/>
          <w:lang w:val="en-US" w:eastAsia="zh-CN"/>
        </w:rPr>
      </w:pPr>
      <w:r>
        <w:rPr>
          <w:rFonts w:hint="eastAsia" w:ascii="仿宋" w:hAnsi="仿宋" w:eastAsia="仿宋"/>
          <w:bCs/>
          <w:spacing w:val="-4"/>
          <w:sz w:val="32"/>
          <w:szCs w:val="32"/>
          <w:lang w:val="en-US" w:eastAsia="zh-CN"/>
        </w:rPr>
        <w:t>此项资金全力保障基层一线实战部门，全部用于解决站所设施设备购置，做到资金效益最大化。</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存在的问题</w:t>
      </w:r>
    </w:p>
    <w:p>
      <w:pPr>
        <w:numPr>
          <w:ilvl w:val="0"/>
          <w:numId w:val="0"/>
        </w:numPr>
        <w:adjustRightInd w:val="0"/>
        <w:snapToGrid w:val="0"/>
        <w:spacing w:line="560" w:lineRule="exact"/>
        <w:ind w:leftChars="200" w:firstLine="312" w:firstLineChars="100"/>
        <w:rPr>
          <w:rFonts w:hint="default" w:ascii="仿宋" w:hAnsi="仿宋" w:eastAsia="仿宋"/>
          <w:bCs/>
          <w:spacing w:val="-4"/>
          <w:sz w:val="32"/>
          <w:szCs w:val="32"/>
          <w:lang w:val="en-US" w:eastAsia="zh-CN"/>
        </w:rPr>
      </w:pPr>
      <w:r>
        <w:rPr>
          <w:rFonts w:hint="eastAsia" w:ascii="仿宋" w:hAnsi="仿宋" w:eastAsia="仿宋"/>
          <w:bCs/>
          <w:spacing w:val="-4"/>
          <w:sz w:val="32"/>
          <w:szCs w:val="32"/>
          <w:lang w:val="en-US" w:eastAsia="zh-CN"/>
        </w:rPr>
        <w:t>无。</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建议</w:t>
      </w:r>
    </w:p>
    <w:p>
      <w:pPr>
        <w:numPr>
          <w:ilvl w:val="0"/>
          <w:numId w:val="0"/>
        </w:numPr>
        <w:adjustRightInd w:val="0"/>
        <w:snapToGrid w:val="0"/>
        <w:spacing w:line="560" w:lineRule="exact"/>
        <w:ind w:leftChars="200" w:firstLine="312" w:firstLineChars="100"/>
        <w:rPr>
          <w:rFonts w:hint="eastAsia" w:ascii="仿宋" w:hAnsi="仿宋" w:eastAsia="仿宋"/>
          <w:bCs/>
          <w:spacing w:val="-4"/>
          <w:sz w:val="32"/>
          <w:szCs w:val="32"/>
        </w:rPr>
      </w:pPr>
      <w:r>
        <w:rPr>
          <w:rFonts w:hint="eastAsia" w:ascii="仿宋" w:hAnsi="仿宋" w:eastAsia="仿宋"/>
          <w:bCs/>
          <w:spacing w:val="-4"/>
          <w:sz w:val="32"/>
          <w:szCs w:val="32"/>
        </w:rPr>
        <w:t>建议2019年增加</w:t>
      </w:r>
      <w:r>
        <w:rPr>
          <w:rFonts w:hint="eastAsia" w:ascii="仿宋" w:hAnsi="仿宋" w:eastAsia="仿宋"/>
          <w:bCs/>
          <w:spacing w:val="-4"/>
          <w:sz w:val="32"/>
          <w:szCs w:val="32"/>
          <w:lang w:eastAsia="zh-CN"/>
        </w:rPr>
        <w:t>站所</w:t>
      </w:r>
      <w:r>
        <w:rPr>
          <w:rFonts w:hint="eastAsia" w:ascii="仿宋" w:hAnsi="仿宋" w:eastAsia="仿宋"/>
          <w:bCs/>
          <w:spacing w:val="-4"/>
          <w:sz w:val="32"/>
          <w:szCs w:val="32"/>
        </w:rPr>
        <w:t>经费投入力度。</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val="en-US" w:eastAsia="zh-CN"/>
        </w:rPr>
        <w:t>资金</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val="en-US" w:eastAsia="zh-CN"/>
        </w:rPr>
        <w:t>塔县</w:t>
      </w:r>
      <w:r>
        <w:rPr>
          <w:rFonts w:hint="eastAsia" w:ascii="仿宋" w:hAnsi="仿宋" w:eastAsia="仿宋"/>
          <w:color w:val="auto"/>
          <w:spacing w:val="-4"/>
          <w:sz w:val="32"/>
          <w:szCs w:val="32"/>
        </w:rPr>
        <w:t>今后的开展提供参考建议。</w:t>
      </w:r>
      <w:bookmarkStart w:id="0" w:name="_GoBack"/>
      <w:bookmarkEnd w:id="0"/>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hint="eastAsia" w:ascii="仿宋" w:hAnsi="仿宋" w:eastAsia="仿宋"/>
          <w:color w:val="FF0000"/>
          <w:spacing w:val="-4"/>
          <w:sz w:val="32"/>
          <w:szCs w:val="32"/>
        </w:rPr>
      </w:pPr>
    </w:p>
    <w:p>
      <w:pPr>
        <w:adjustRightInd w:val="0"/>
        <w:snapToGrid w:val="0"/>
        <w:spacing w:line="560" w:lineRule="exact"/>
        <w:rPr>
          <w:rStyle w:val="18"/>
          <w:rFonts w:hint="eastAsia" w:ascii="仿宋" w:hAnsi="仿宋" w:eastAsia="仿宋"/>
          <w:color w:val="FF0000"/>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684962"/>
    <w:multiLevelType w:val="singleLevel"/>
    <w:tmpl w:val="F368496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1EB3EDF"/>
    <w:rsid w:val="040278E1"/>
    <w:rsid w:val="07DF0DAB"/>
    <w:rsid w:val="0868260F"/>
    <w:rsid w:val="0A2E48EC"/>
    <w:rsid w:val="0AB56CE2"/>
    <w:rsid w:val="0EB107EC"/>
    <w:rsid w:val="1E91249D"/>
    <w:rsid w:val="21454B50"/>
    <w:rsid w:val="217C3C66"/>
    <w:rsid w:val="22950C38"/>
    <w:rsid w:val="275833BE"/>
    <w:rsid w:val="397F4FE8"/>
    <w:rsid w:val="3B263DD2"/>
    <w:rsid w:val="3ED73415"/>
    <w:rsid w:val="49F11C19"/>
    <w:rsid w:val="4D063588"/>
    <w:rsid w:val="4EFD6A38"/>
    <w:rsid w:val="4FF31CA3"/>
    <w:rsid w:val="5A7F02EA"/>
    <w:rsid w:val="5B1552BA"/>
    <w:rsid w:val="5DDD3383"/>
    <w:rsid w:val="6CA7332C"/>
    <w:rsid w:val="70D304D8"/>
    <w:rsid w:val="773744AF"/>
    <w:rsid w:val="78996D10"/>
    <w:rsid w:val="791B696B"/>
    <w:rsid w:val="7FEF4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7"/>
    <w:qFormat/>
    <w:uiPriority w:val="0"/>
    <w:rPr>
      <w:rFonts w:hint="default" w:ascii="Times New Roman" w:hAnsi="Times New Roman" w:cs="Times New Roman"/>
      <w:color w:val="000000"/>
      <w:sz w:val="24"/>
      <w:szCs w:val="24"/>
      <w:u w:val="none"/>
    </w:rPr>
  </w:style>
  <w:style w:type="character" w:customStyle="1" w:styleId="50">
    <w:name w:val="font01"/>
    <w:basedOn w:val="17"/>
    <w:qFormat/>
    <w:uiPriority w:val="0"/>
    <w:rPr>
      <w:rFonts w:hint="eastAsia" w:ascii="宋体" w:hAnsi="宋体" w:eastAsia="宋体" w:cs="宋体"/>
      <w:color w:val="000000"/>
      <w:sz w:val="24"/>
      <w:szCs w:val="24"/>
      <w:u w:val="none"/>
    </w:rPr>
  </w:style>
  <w:style w:type="character" w:customStyle="1" w:styleId="51">
    <w:name w:val="font11"/>
    <w:basedOn w:val="17"/>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TotalTime>
  <ScaleCrop>false</ScaleCrop>
  <LinksUpToDate>false</LinksUpToDate>
  <CharactersWithSpaces>1916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2019-09-22T10:54:49Z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